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EE14" w14:textId="77777777" w:rsidR="00D16E0C" w:rsidRPr="00D16E0C" w:rsidRDefault="00884EBE" w:rsidP="00390D05">
      <w:pPr>
        <w:rPr>
          <w:b/>
          <w:sz w:val="32"/>
          <w:szCs w:val="32"/>
        </w:rPr>
      </w:pPr>
      <w:proofErr w:type="gramStart"/>
      <w:r w:rsidRPr="00D16E0C">
        <w:rPr>
          <w:b/>
          <w:sz w:val="32"/>
          <w:szCs w:val="32"/>
        </w:rPr>
        <w:t xml:space="preserve">PRESS  </w:t>
      </w:r>
      <w:bookmarkStart w:id="0" w:name="_GoBack"/>
      <w:bookmarkEnd w:id="0"/>
      <w:r w:rsidRPr="00D16E0C">
        <w:rPr>
          <w:b/>
          <w:sz w:val="32"/>
          <w:szCs w:val="32"/>
        </w:rPr>
        <w:t>RELEASE</w:t>
      </w:r>
      <w:proofErr w:type="gramEnd"/>
    </w:p>
    <w:p w14:paraId="2D90D82C" w14:textId="77777777" w:rsidR="00D16E0C" w:rsidRDefault="00D16E0C" w:rsidP="00390D05">
      <w:pPr>
        <w:rPr>
          <w:b/>
        </w:rPr>
      </w:pPr>
    </w:p>
    <w:p w14:paraId="53F2160E" w14:textId="28C1D046" w:rsidR="00955FB4" w:rsidRPr="00C831DD" w:rsidRDefault="00D16E0C" w:rsidP="00390D05">
      <w:pPr>
        <w:rPr>
          <w:b/>
        </w:rPr>
      </w:pPr>
      <w:r>
        <w:rPr>
          <w:b/>
        </w:rPr>
        <w:t xml:space="preserve">IMMEDIATE   </w:t>
      </w:r>
      <w:r w:rsidR="00390D05">
        <w:rPr>
          <w:b/>
        </w:rPr>
        <w:t>2.</w:t>
      </w:r>
      <w:r>
        <w:rPr>
          <w:b/>
        </w:rPr>
        <w:t>3.</w:t>
      </w:r>
      <w:r w:rsidR="00390D05">
        <w:rPr>
          <w:b/>
        </w:rPr>
        <w:t>2017</w:t>
      </w:r>
    </w:p>
    <w:p w14:paraId="0944EB16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33FB4FDC" w14:textId="77777777" w:rsidR="00BF1D14" w:rsidRDefault="00BF1D14" w:rsidP="00BF1D14">
      <w:pPr>
        <w:pStyle w:val="ListParagraph"/>
        <w:ind w:left="1080"/>
        <w:rPr>
          <w:sz w:val="12"/>
          <w:szCs w:val="12"/>
        </w:rPr>
      </w:pPr>
    </w:p>
    <w:p w14:paraId="2943758A" w14:textId="77777777" w:rsidR="00D16E0C" w:rsidRPr="00C831DD" w:rsidRDefault="00D16E0C" w:rsidP="00BF1D14">
      <w:pPr>
        <w:pStyle w:val="ListParagraph"/>
        <w:ind w:left="1080"/>
        <w:rPr>
          <w:sz w:val="12"/>
          <w:szCs w:val="12"/>
        </w:rPr>
      </w:pPr>
    </w:p>
    <w:p w14:paraId="0279D42A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16CCF8D9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182663C8" w14:textId="7966603F" w:rsidR="00D16E0C" w:rsidRDefault="00D16E0C" w:rsidP="00D16E0C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D16E0C">
        <w:rPr>
          <w:b/>
          <w:lang w:val="en-US"/>
        </w:rPr>
        <w:t>ASSEMBLY ELECTIONS</w:t>
      </w:r>
      <w:r>
        <w:rPr>
          <w:b/>
          <w:lang w:val="en-US"/>
        </w:rPr>
        <w:t xml:space="preserve"> (STILL) FAIL TO MEET</w:t>
      </w:r>
    </w:p>
    <w:p w14:paraId="5E669361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073490B" w14:textId="13CEA396" w:rsidR="00BF1D14" w:rsidRPr="00D16E0C" w:rsidRDefault="00D16E0C" w:rsidP="00D16E0C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INTERNATIONAL STANDARDS</w:t>
      </w:r>
    </w:p>
    <w:p w14:paraId="051F94E2" w14:textId="77777777" w:rsidR="00D16E0C" w:rsidRPr="00D16E0C" w:rsidRDefault="00D16E0C" w:rsidP="00C831DD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24E2749D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1EA07B23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030D552" w14:textId="6782062D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 election is marred by the facts that:</w:t>
      </w:r>
    </w:p>
    <w:p w14:paraId="0233CC69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78737E9" w14:textId="7A56CDF5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 parties are still campaigning, </w:t>
      </w:r>
      <w:r w:rsidR="00AB6777">
        <w:rPr>
          <w:lang w:val="en-US"/>
        </w:rPr>
        <w:t xml:space="preserve">even today, with </w:t>
      </w:r>
      <w:r>
        <w:rPr>
          <w:lang w:val="en-US"/>
        </w:rPr>
        <w:t xml:space="preserve">loudspeaker cars, whatever;  </w:t>
      </w:r>
    </w:p>
    <w:p w14:paraId="1110EAF6" w14:textId="77777777" w:rsidR="00D16E0C" w:rsidRPr="00D16E0C" w:rsidRDefault="00D16E0C" w:rsidP="00C831DD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112A307" w14:textId="0D176B9E" w:rsidR="00D16E0C" w:rsidRDefault="0072103F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some polling station entrances</w:t>
      </w:r>
      <w:r w:rsidR="00D16E0C">
        <w:rPr>
          <w:lang w:val="en-US"/>
        </w:rPr>
        <w:t>, voters have to run a gauntlet of party activists;</w:t>
      </w:r>
    </w:p>
    <w:p w14:paraId="6E057B16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B77EE65" w14:textId="43B6C9AB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in</w:t>
      </w:r>
      <w:r w:rsidR="0072103F">
        <w:rPr>
          <w:lang w:val="en-US"/>
        </w:rPr>
        <w:t>side</w:t>
      </w:r>
      <w:proofErr w:type="gramEnd"/>
      <w:r>
        <w:rPr>
          <w:lang w:val="en-US"/>
        </w:rPr>
        <w:t xml:space="preserve"> some polling stations, party activists are allowed (and are assisted) to record the presence of individual voters; and</w:t>
      </w:r>
    </w:p>
    <w:p w14:paraId="634FF007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4053119" w14:textId="24F62DB9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ballot paper is not anonymous.</w:t>
      </w:r>
    </w:p>
    <w:p w14:paraId="2FD42D19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79D2E75A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B026EA5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175B68AA" w14:textId="60B9592E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All of the above is legal, here; but none of it would be allowed in elections run by the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for Security and Co-operation in Europe, </w:t>
      </w:r>
      <w:r w:rsidRPr="00D16E0C">
        <w:rPr>
          <w:smallCaps/>
          <w:lang w:val="en-US"/>
        </w:rPr>
        <w:t>osce</w:t>
      </w:r>
      <w:r>
        <w:rPr>
          <w:lang w:val="en-US"/>
        </w:rPr>
        <w:t>, where:</w:t>
      </w:r>
    </w:p>
    <w:p w14:paraId="0CB83242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19F21F0" w14:textId="527A2410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moratorium on campaigning is initiated, usually 24 hours before polling day;</w:t>
      </w:r>
    </w:p>
    <w:p w14:paraId="116CCF2B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70EF3E0" w14:textId="56883DC6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polling</w:t>
      </w:r>
      <w:proofErr w:type="gramEnd"/>
      <w:r>
        <w:rPr>
          <w:lang w:val="en-US"/>
        </w:rPr>
        <w:t xml:space="preserve"> stations and the surrounding area, normally at least 50 </w:t>
      </w:r>
      <w:proofErr w:type="spellStart"/>
      <w:r>
        <w:rPr>
          <w:lang w:val="en-US"/>
        </w:rPr>
        <w:t>metres</w:t>
      </w:r>
      <w:proofErr w:type="spellEnd"/>
      <w:r w:rsidR="0072103F">
        <w:rPr>
          <w:lang w:val="en-US"/>
        </w:rPr>
        <w:t xml:space="preserve"> distant</w:t>
      </w:r>
      <w:r>
        <w:rPr>
          <w:lang w:val="en-US"/>
        </w:rPr>
        <w:t>, must be neutral, with not even a poster on display;</w:t>
      </w:r>
    </w:p>
    <w:p w14:paraId="16545926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AF201FB" w14:textId="498897F1" w:rsidR="00D16E0C" w:rsidRDefault="00AB6777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inside</w:t>
      </w:r>
      <w:proofErr w:type="gramEnd"/>
      <w:r>
        <w:rPr>
          <w:lang w:val="en-US"/>
        </w:rPr>
        <w:t xml:space="preserve"> some </w:t>
      </w:r>
      <w:r w:rsidR="00D16E0C">
        <w:rPr>
          <w:lang w:val="en-US"/>
        </w:rPr>
        <w:t>polling station</w:t>
      </w:r>
      <w:r>
        <w:rPr>
          <w:lang w:val="en-US"/>
        </w:rPr>
        <w:t>s</w:t>
      </w:r>
      <w:r w:rsidR="00D16E0C">
        <w:rPr>
          <w:lang w:val="en-US"/>
        </w:rPr>
        <w:t xml:space="preserve">, party </w:t>
      </w:r>
      <w:r>
        <w:rPr>
          <w:lang w:val="en-US"/>
        </w:rPr>
        <w:t>agents</w:t>
      </w:r>
      <w:r w:rsidR="00D16E0C">
        <w:rPr>
          <w:lang w:val="en-US"/>
        </w:rPr>
        <w:t xml:space="preserve"> are </w:t>
      </w:r>
      <w:r>
        <w:rPr>
          <w:lang w:val="en-US"/>
        </w:rPr>
        <w:t xml:space="preserve">allowed (and are assisted) </w:t>
      </w:r>
      <w:r w:rsidR="00D16E0C">
        <w:rPr>
          <w:lang w:val="en-US"/>
        </w:rPr>
        <w:t xml:space="preserve">to observe the voting in the round, but are not </w:t>
      </w:r>
      <w:r w:rsidR="0072103F">
        <w:rPr>
          <w:lang w:val="en-US"/>
        </w:rPr>
        <w:t>given access to</w:t>
      </w:r>
      <w:r w:rsidR="00D16E0C">
        <w:rPr>
          <w:lang w:val="en-US"/>
        </w:rPr>
        <w:t xml:space="preserve"> information as to the presence or otherwise of individual voters; and</w:t>
      </w:r>
    </w:p>
    <w:p w14:paraId="3CECC6F2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6096DE9" w14:textId="62CA8D96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ballot paper is anonymous.</w:t>
      </w:r>
    </w:p>
    <w:p w14:paraId="10E5C111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1801EC4A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6298F7F8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16DDEEE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71C5FBEA" w14:textId="77777777" w:rsid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Peter Emerson</w:t>
      </w:r>
    </w:p>
    <w:p w14:paraId="41E65BE7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6DF459F5" w14:textId="1B9438D9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 xml:space="preserve">Election observer for the </w:t>
      </w:r>
      <w:r w:rsidRPr="00D16E0C">
        <w:rPr>
          <w:smallCaps/>
          <w:lang w:val="en-US"/>
        </w:rPr>
        <w:t>osce</w:t>
      </w:r>
      <w:r>
        <w:rPr>
          <w:lang w:val="en-US"/>
        </w:rPr>
        <w:t xml:space="preserve"> in over 20 elections in Central and Eastern Europe.</w:t>
      </w:r>
      <w:proofErr w:type="gramEnd"/>
    </w:p>
    <w:p w14:paraId="2238DB44" w14:textId="1ECD37E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 xml:space="preserve">Adviser to the </w:t>
      </w:r>
      <w:r w:rsidRPr="00D16E0C">
        <w:rPr>
          <w:smallCaps/>
          <w:lang w:val="en-US"/>
        </w:rPr>
        <w:t>osce</w:t>
      </w:r>
      <w:r>
        <w:rPr>
          <w:lang w:val="en-US"/>
        </w:rPr>
        <w:t xml:space="preserve"> in Bosnia in 1999.</w:t>
      </w:r>
      <w:proofErr w:type="gramEnd"/>
    </w:p>
    <w:p w14:paraId="2055963B" w14:textId="0E710E28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 xml:space="preserve">International Trainer in </w:t>
      </w:r>
      <w:proofErr w:type="spellStart"/>
      <w:r>
        <w:rPr>
          <w:lang w:val="en-US"/>
        </w:rPr>
        <w:t>Kosova</w:t>
      </w:r>
      <w:proofErr w:type="spellEnd"/>
      <w:r>
        <w:rPr>
          <w:lang w:val="en-US"/>
        </w:rPr>
        <w:t xml:space="preserve"> in 2001.</w:t>
      </w:r>
      <w:proofErr w:type="gramEnd"/>
    </w:p>
    <w:p w14:paraId="3D609598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535E46CE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The Director, the de Borda Institute</w:t>
      </w:r>
    </w:p>
    <w:p w14:paraId="62CF1DFB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 xml:space="preserve">36 </w:t>
      </w:r>
      <w:proofErr w:type="spellStart"/>
      <w:r w:rsidRPr="00C831DD">
        <w:rPr>
          <w:lang w:val="en-US"/>
        </w:rPr>
        <w:t>Ballysillan</w:t>
      </w:r>
      <w:proofErr w:type="spellEnd"/>
      <w:r w:rsidRPr="00C831DD">
        <w:rPr>
          <w:lang w:val="en-US"/>
        </w:rPr>
        <w:t xml:space="preserve"> Road</w:t>
      </w:r>
    </w:p>
    <w:p w14:paraId="3EBE1B86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Belfast BT14 7QQ</w:t>
      </w:r>
    </w:p>
    <w:p w14:paraId="1E32A864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Northern Ireland</w:t>
      </w:r>
    </w:p>
    <w:p w14:paraId="1872CD76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3D57B88B" w14:textId="7CF165EF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028-</w:t>
      </w:r>
      <w:r w:rsidR="00BF1D14">
        <w:rPr>
          <w:lang w:val="en-US"/>
        </w:rPr>
        <w:t xml:space="preserve">90711795    </w:t>
      </w:r>
    </w:p>
    <w:p w14:paraId="0740E623" w14:textId="694F7B8B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07837717979</w:t>
      </w:r>
    </w:p>
    <w:p w14:paraId="5FC97E04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29B988D7" w14:textId="77777777" w:rsidR="00D16E0C" w:rsidRDefault="00882F2E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C831DD" w:rsidRPr="00C831DD">
          <w:rPr>
            <w:u w:val="single" w:color="386EFF"/>
            <w:lang w:val="en-US"/>
          </w:rPr>
          <w:t>www.deborda.org</w:t>
        </w:r>
      </w:hyperlink>
      <w:r w:rsidR="00BF1D14">
        <w:rPr>
          <w:lang w:val="en-US"/>
        </w:rPr>
        <w:t xml:space="preserve">     </w:t>
      </w:r>
    </w:p>
    <w:p w14:paraId="4FF44D39" w14:textId="4DC374D9" w:rsidR="00884EBE" w:rsidRPr="00BF1D14" w:rsidRDefault="00882F2E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="00C831DD" w:rsidRPr="00C831DD">
          <w:rPr>
            <w:u w:val="single" w:color="4023CD"/>
            <w:lang w:val="en-US"/>
          </w:rPr>
          <w:t>pemerson@deborda.org</w:t>
        </w:r>
      </w:hyperlink>
    </w:p>
    <w:sectPr w:rsidR="00884EBE" w:rsidRPr="00BF1D14" w:rsidSect="00F2379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833EF"/>
    <w:rsid w:val="00390D05"/>
    <w:rsid w:val="004853FC"/>
    <w:rsid w:val="0072103F"/>
    <w:rsid w:val="00882F2E"/>
    <w:rsid w:val="00884EBE"/>
    <w:rsid w:val="008B2B28"/>
    <w:rsid w:val="008F36CF"/>
    <w:rsid w:val="00955FB4"/>
    <w:rsid w:val="00AB6777"/>
    <w:rsid w:val="00B60400"/>
    <w:rsid w:val="00BF1D14"/>
    <w:rsid w:val="00C831DD"/>
    <w:rsid w:val="00D16E0C"/>
    <w:rsid w:val="00F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Macintosh Word</Application>
  <DocSecurity>0</DocSecurity>
  <Lines>10</Lines>
  <Paragraphs>3</Paragraphs>
  <ScaleCrop>false</ScaleCrop>
  <Company>The de Borda Institute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2017-10-06T11:03:00Z</dcterms:created>
  <dcterms:modified xsi:type="dcterms:W3CDTF">2017-10-06T11:03:00Z</dcterms:modified>
</cp:coreProperties>
</file>